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60E" w:rsidRPr="003B560E" w:rsidRDefault="003B560E" w:rsidP="003B560E">
      <w:pPr>
        <w:spacing w:before="150" w:after="150" w:line="600" w:lineRule="atLeast"/>
        <w:ind w:left="-360"/>
        <w:outlineLvl w:val="0"/>
        <w:rPr>
          <w:rFonts w:ascii="Garamond" w:eastAsia="Times New Roman" w:hAnsi="Garamond" w:cs="Helvetica"/>
          <w:color w:val="333333"/>
          <w:kern w:val="36"/>
          <w:sz w:val="58"/>
          <w:szCs w:val="58"/>
        </w:rPr>
      </w:pPr>
      <w:r w:rsidRPr="003B560E">
        <w:rPr>
          <w:rFonts w:ascii="Garamond" w:eastAsia="Times New Roman" w:hAnsi="Garamond" w:cs="Helvetica"/>
          <w:color w:val="333333"/>
          <w:kern w:val="36"/>
          <w:sz w:val="58"/>
          <w:szCs w:val="58"/>
        </w:rPr>
        <w:t>Federal Cash Management Rules</w:t>
      </w:r>
    </w:p>
    <w:p w:rsidR="003B560E" w:rsidRPr="003B560E" w:rsidRDefault="003B560E" w:rsidP="003B560E">
      <w:pPr>
        <w:spacing w:after="360" w:line="300" w:lineRule="atLeast"/>
        <w:rPr>
          <w:rFonts w:ascii="Helvetica" w:eastAsia="Times New Roman" w:hAnsi="Helvetica" w:cs="Helvetica"/>
          <w:color w:val="333333"/>
          <w:sz w:val="21"/>
          <w:szCs w:val="21"/>
        </w:rPr>
      </w:pPr>
      <w:r w:rsidRPr="003B560E">
        <w:rPr>
          <w:rFonts w:ascii="Helvetica" w:eastAsia="Times New Roman" w:hAnsi="Helvetica" w:cs="Helvetica"/>
          <w:color w:val="333333"/>
          <w:sz w:val="21"/>
          <w:szCs w:val="21"/>
        </w:rPr>
        <w:t>Under the Federal Title IV cash management regulations, institutions are required to publicly disclose any contract with a financial account provider that provides Title IV credit balances to students, knows as a Tier One (T1) or Tier Two (T2) Arrangement. Tier One (T1) arrangements are those between an institution and a third-party servicer where the servicer “performs one or more of the functions associated with processing direct payments of Title IV funds on behalf of the institution” and offers one or more financial accounts under the arrangement, or markets an account to students itself or through another entity. Tier Two (T2) arrangements are defined as those between an institution and a bank under which accounts are offered and marketed directly to students.</w:t>
      </w:r>
      <w:r w:rsidRPr="003B560E">
        <w:rPr>
          <w:rFonts w:ascii="Helvetica" w:eastAsia="Times New Roman" w:hAnsi="Helvetica" w:cs="Helvetica"/>
          <w:color w:val="333333"/>
          <w:sz w:val="21"/>
          <w:szCs w:val="21"/>
        </w:rPr>
        <w:br/>
      </w:r>
      <w:r w:rsidRPr="003B560E">
        <w:rPr>
          <w:rFonts w:ascii="Helvetica" w:eastAsia="Times New Roman" w:hAnsi="Helvetica" w:cs="Helvetica"/>
          <w:color w:val="333333"/>
          <w:sz w:val="21"/>
          <w:szCs w:val="21"/>
        </w:rPr>
        <w:br/>
      </w:r>
      <w:r w:rsidRPr="003B560E">
        <w:rPr>
          <w:rFonts w:ascii="Helvetica" w:eastAsia="Times New Roman" w:hAnsi="Helvetica" w:cs="Helvetica"/>
          <w:b/>
          <w:color w:val="333333"/>
          <w:sz w:val="21"/>
          <w:szCs w:val="21"/>
        </w:rPr>
        <w:t>Alamo Community Colleges District</w:t>
      </w:r>
      <w:r>
        <w:rPr>
          <w:rFonts w:ascii="Helvetica" w:eastAsia="Times New Roman" w:hAnsi="Helvetica" w:cs="Helvetica"/>
          <w:color w:val="333333"/>
          <w:sz w:val="21"/>
          <w:szCs w:val="21"/>
        </w:rPr>
        <w:t xml:space="preserve"> </w:t>
      </w:r>
      <w:r w:rsidRPr="003B560E">
        <w:rPr>
          <w:rFonts w:ascii="Helvetica" w:eastAsia="Times New Roman" w:hAnsi="Helvetica" w:cs="Helvetica"/>
          <w:color w:val="333333"/>
          <w:sz w:val="21"/>
          <w:szCs w:val="21"/>
        </w:rPr>
        <w:t>is currently in a Tier One (T1) arrangement. All disclosures related to these new regulations and banking services contract will be made on this web page.</w:t>
      </w:r>
    </w:p>
    <w:p w:rsidR="003B560E" w:rsidRPr="003B560E" w:rsidRDefault="003B560E" w:rsidP="0062078D">
      <w:pPr>
        <w:spacing w:after="120" w:line="300" w:lineRule="atLeast"/>
        <w:rPr>
          <w:rFonts w:ascii="Helvetica" w:eastAsia="Times New Roman" w:hAnsi="Helvetica" w:cs="Helvetica"/>
          <w:color w:val="333333"/>
          <w:sz w:val="21"/>
          <w:szCs w:val="21"/>
        </w:rPr>
      </w:pPr>
      <w:r w:rsidRPr="003B560E">
        <w:rPr>
          <w:rFonts w:ascii="Helvetica" w:eastAsia="Times New Roman" w:hAnsi="Helvetica" w:cs="Helvetica"/>
          <w:b/>
          <w:bCs/>
          <w:color w:val="333333"/>
          <w:sz w:val="21"/>
          <w:szCs w:val="21"/>
        </w:rPr>
        <w:t>Third Party Services Agreements</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38"/>
        <w:gridCol w:w="2174"/>
        <w:gridCol w:w="1792"/>
        <w:gridCol w:w="2874"/>
      </w:tblGrid>
      <w:tr w:rsidR="003B560E" w:rsidRPr="003B560E" w:rsidTr="003B560E">
        <w:trPr>
          <w:trHeight w:val="399"/>
        </w:trPr>
        <w:tc>
          <w:tcPr>
            <w:tcW w:w="153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3B560E" w:rsidRPr="003B560E" w:rsidRDefault="003B560E" w:rsidP="003B560E">
            <w:pPr>
              <w:spacing w:after="120" w:line="300" w:lineRule="atLeast"/>
              <w:ind w:left="188"/>
              <w:rPr>
                <w:rFonts w:ascii="Helvetica" w:eastAsia="Times New Roman" w:hAnsi="Helvetica" w:cs="Helvetica"/>
                <w:color w:val="333333"/>
                <w:sz w:val="21"/>
                <w:szCs w:val="21"/>
              </w:rPr>
            </w:pPr>
            <w:r w:rsidRPr="003B560E">
              <w:rPr>
                <w:rFonts w:ascii="Helvetica" w:eastAsia="Times New Roman" w:hAnsi="Helvetica" w:cs="Helvetica"/>
                <w:bCs/>
                <w:color w:val="333333"/>
                <w:sz w:val="21"/>
                <w:szCs w:val="21"/>
              </w:rPr>
              <w:t>Expiration</w:t>
            </w:r>
          </w:p>
        </w:tc>
        <w:tc>
          <w:tcPr>
            <w:tcW w:w="217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3B560E" w:rsidRPr="003B560E" w:rsidRDefault="003B560E" w:rsidP="003B560E">
            <w:pPr>
              <w:spacing w:after="120" w:line="300" w:lineRule="atLeast"/>
              <w:ind w:left="174"/>
              <w:rPr>
                <w:rFonts w:ascii="Helvetica" w:eastAsia="Times New Roman" w:hAnsi="Helvetica" w:cs="Helvetica"/>
                <w:color w:val="333333"/>
                <w:sz w:val="21"/>
                <w:szCs w:val="21"/>
              </w:rPr>
            </w:pPr>
            <w:r w:rsidRPr="003B560E">
              <w:rPr>
                <w:rFonts w:ascii="Helvetica" w:eastAsia="Times New Roman" w:hAnsi="Helvetica" w:cs="Helvetica"/>
                <w:bCs/>
                <w:color w:val="333333"/>
                <w:sz w:val="21"/>
                <w:szCs w:val="21"/>
              </w:rPr>
              <w:t>Vendor Name</w:t>
            </w:r>
          </w:p>
        </w:tc>
        <w:tc>
          <w:tcPr>
            <w:tcW w:w="179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3B560E" w:rsidRPr="003B560E" w:rsidRDefault="003B560E" w:rsidP="003B560E">
            <w:pPr>
              <w:spacing w:after="120" w:line="300" w:lineRule="atLeast"/>
              <w:ind w:left="149"/>
              <w:rPr>
                <w:rFonts w:ascii="Helvetica" w:eastAsia="Times New Roman" w:hAnsi="Helvetica" w:cs="Helvetica"/>
                <w:color w:val="333333"/>
                <w:sz w:val="21"/>
                <w:szCs w:val="21"/>
              </w:rPr>
            </w:pPr>
            <w:r w:rsidRPr="003B560E">
              <w:rPr>
                <w:rFonts w:ascii="Helvetica" w:eastAsia="Times New Roman" w:hAnsi="Helvetica" w:cs="Helvetica"/>
                <w:bCs/>
                <w:color w:val="333333"/>
                <w:sz w:val="21"/>
                <w:szCs w:val="21"/>
              </w:rPr>
              <w:t>Contract</w:t>
            </w:r>
          </w:p>
        </w:tc>
        <w:tc>
          <w:tcPr>
            <w:tcW w:w="287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3B560E" w:rsidRPr="003B560E" w:rsidRDefault="003B560E" w:rsidP="003B560E">
            <w:pPr>
              <w:spacing w:after="120" w:line="300" w:lineRule="atLeast"/>
              <w:ind w:left="156"/>
              <w:rPr>
                <w:rFonts w:ascii="Helvetica" w:eastAsia="Times New Roman" w:hAnsi="Helvetica" w:cs="Helvetica"/>
                <w:color w:val="333333"/>
                <w:sz w:val="21"/>
                <w:szCs w:val="21"/>
              </w:rPr>
            </w:pPr>
            <w:r w:rsidRPr="003B560E">
              <w:rPr>
                <w:rFonts w:ascii="Helvetica" w:eastAsia="Times New Roman" w:hAnsi="Helvetica" w:cs="Helvetica"/>
                <w:bCs/>
                <w:color w:val="333333"/>
                <w:sz w:val="21"/>
                <w:szCs w:val="21"/>
              </w:rPr>
              <w:t>Description</w:t>
            </w:r>
          </w:p>
        </w:tc>
      </w:tr>
      <w:tr w:rsidR="003B560E" w:rsidRPr="003B560E" w:rsidTr="003B560E">
        <w:tc>
          <w:tcPr>
            <w:tcW w:w="1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60E" w:rsidRPr="003B560E" w:rsidRDefault="003B560E" w:rsidP="003B560E">
            <w:pPr>
              <w:spacing w:after="0" w:line="300" w:lineRule="atLeast"/>
              <w:ind w:left="188"/>
              <w:rPr>
                <w:rFonts w:ascii="Helvetica" w:eastAsia="Times New Roman" w:hAnsi="Helvetica" w:cs="Helvetica"/>
                <w:color w:val="333333"/>
                <w:sz w:val="21"/>
                <w:szCs w:val="21"/>
              </w:rPr>
            </w:pPr>
            <w:r>
              <w:rPr>
                <w:rFonts w:ascii="Helvetica" w:eastAsia="Times New Roman" w:hAnsi="Helvetica" w:cs="Helvetica"/>
                <w:color w:val="333333"/>
                <w:sz w:val="21"/>
                <w:szCs w:val="21"/>
              </w:rPr>
              <w:t>Ongoing</w:t>
            </w:r>
          </w:p>
        </w:tc>
        <w:tc>
          <w:tcPr>
            <w:tcW w:w="21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60E" w:rsidRPr="003B560E" w:rsidRDefault="003B560E" w:rsidP="003B560E">
            <w:pPr>
              <w:spacing w:after="0" w:line="300" w:lineRule="atLeast"/>
              <w:ind w:left="174"/>
              <w:rPr>
                <w:rFonts w:ascii="Helvetica" w:eastAsia="Times New Roman" w:hAnsi="Helvetica" w:cs="Helvetica"/>
                <w:color w:val="333333"/>
                <w:sz w:val="21"/>
                <w:szCs w:val="21"/>
              </w:rPr>
            </w:pPr>
            <w:r w:rsidRPr="003B560E">
              <w:rPr>
                <w:rFonts w:ascii="Helvetica" w:eastAsia="Times New Roman" w:hAnsi="Helvetica" w:cs="Helvetica"/>
                <w:color w:val="333333"/>
                <w:sz w:val="21"/>
                <w:szCs w:val="21"/>
              </w:rPr>
              <w:t>Heartland</w:t>
            </w:r>
            <w:r>
              <w:rPr>
                <w:rFonts w:ascii="Helvetica" w:eastAsia="Times New Roman" w:hAnsi="Helvetica" w:cs="Helvetica"/>
                <w:color w:val="333333"/>
                <w:sz w:val="21"/>
                <w:szCs w:val="21"/>
              </w:rPr>
              <w:t xml:space="preserve"> ECSI</w:t>
            </w:r>
          </w:p>
        </w:tc>
        <w:tc>
          <w:tcPr>
            <w:tcW w:w="17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60E" w:rsidRPr="003B560E" w:rsidRDefault="006421FD" w:rsidP="003B560E">
            <w:pPr>
              <w:spacing w:after="0" w:line="300" w:lineRule="atLeast"/>
              <w:ind w:left="149"/>
              <w:rPr>
                <w:rFonts w:ascii="Helvetica" w:eastAsia="Times New Roman" w:hAnsi="Helvetica" w:cs="Helvetica"/>
                <w:color w:val="333333"/>
                <w:sz w:val="21"/>
                <w:szCs w:val="21"/>
                <w:u w:val="single"/>
              </w:rPr>
            </w:pPr>
            <w:hyperlink r:id="rId5" w:history="1">
              <w:r w:rsidR="003B560E" w:rsidRPr="006209DB">
                <w:rPr>
                  <w:rStyle w:val="Hyperlink"/>
                  <w:rFonts w:ascii="Helvetica" w:eastAsia="Times New Roman" w:hAnsi="Helvetica" w:cs="Helvetica"/>
                  <w:sz w:val="21"/>
                  <w:szCs w:val="21"/>
                </w:rPr>
                <w:t>Contract # 1   </w:t>
              </w:r>
            </w:hyperlink>
          </w:p>
        </w:tc>
        <w:tc>
          <w:tcPr>
            <w:tcW w:w="28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560E" w:rsidRPr="003B560E" w:rsidRDefault="003B560E" w:rsidP="003B560E">
            <w:pPr>
              <w:spacing w:after="0" w:line="300" w:lineRule="atLeast"/>
              <w:ind w:left="156"/>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RefundSelect</w:t>
            </w:r>
          </w:p>
        </w:tc>
      </w:tr>
      <w:tr w:rsidR="006209DB" w:rsidRPr="003B560E" w:rsidTr="00A2058A">
        <w:tc>
          <w:tcPr>
            <w:tcW w:w="1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09DB" w:rsidRPr="003B560E" w:rsidRDefault="006209DB" w:rsidP="00A2058A">
            <w:pPr>
              <w:spacing w:after="0" w:line="300" w:lineRule="atLeast"/>
              <w:ind w:left="188"/>
              <w:rPr>
                <w:rFonts w:ascii="Helvetica" w:eastAsia="Times New Roman" w:hAnsi="Helvetica" w:cs="Helvetica"/>
                <w:color w:val="333333"/>
                <w:sz w:val="21"/>
                <w:szCs w:val="21"/>
              </w:rPr>
            </w:pPr>
            <w:r>
              <w:rPr>
                <w:rFonts w:ascii="Helvetica" w:eastAsia="Times New Roman" w:hAnsi="Helvetica" w:cs="Helvetica"/>
                <w:color w:val="333333"/>
                <w:sz w:val="21"/>
                <w:szCs w:val="21"/>
              </w:rPr>
              <w:t>Ongoing</w:t>
            </w:r>
          </w:p>
        </w:tc>
        <w:tc>
          <w:tcPr>
            <w:tcW w:w="21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09DB" w:rsidRPr="003B560E" w:rsidRDefault="006209DB" w:rsidP="00A2058A">
            <w:pPr>
              <w:spacing w:after="0" w:line="300" w:lineRule="atLeast"/>
              <w:ind w:left="174"/>
              <w:rPr>
                <w:rFonts w:ascii="Helvetica" w:eastAsia="Times New Roman" w:hAnsi="Helvetica" w:cs="Helvetica"/>
                <w:color w:val="333333"/>
                <w:sz w:val="21"/>
                <w:szCs w:val="21"/>
              </w:rPr>
            </w:pPr>
            <w:r w:rsidRPr="003B560E">
              <w:rPr>
                <w:rFonts w:ascii="Helvetica" w:eastAsia="Times New Roman" w:hAnsi="Helvetica" w:cs="Helvetica"/>
                <w:color w:val="333333"/>
                <w:sz w:val="21"/>
                <w:szCs w:val="21"/>
              </w:rPr>
              <w:t>Heartland</w:t>
            </w:r>
            <w:r>
              <w:rPr>
                <w:rFonts w:ascii="Helvetica" w:eastAsia="Times New Roman" w:hAnsi="Helvetica" w:cs="Helvetica"/>
                <w:color w:val="333333"/>
                <w:sz w:val="21"/>
                <w:szCs w:val="21"/>
              </w:rPr>
              <w:t xml:space="preserve"> ECSI</w:t>
            </w:r>
          </w:p>
        </w:tc>
        <w:tc>
          <w:tcPr>
            <w:tcW w:w="17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09DB" w:rsidRPr="003B560E" w:rsidRDefault="006421FD" w:rsidP="006209DB">
            <w:pPr>
              <w:spacing w:after="0" w:line="300" w:lineRule="atLeast"/>
              <w:ind w:left="149"/>
              <w:rPr>
                <w:rFonts w:ascii="Helvetica" w:eastAsia="Times New Roman" w:hAnsi="Helvetica" w:cs="Helvetica"/>
                <w:color w:val="333333"/>
                <w:sz w:val="21"/>
                <w:szCs w:val="21"/>
                <w:u w:val="single"/>
              </w:rPr>
            </w:pPr>
            <w:hyperlink r:id="rId6" w:history="1">
              <w:r w:rsidR="006209DB" w:rsidRPr="006209DB">
                <w:rPr>
                  <w:rStyle w:val="Hyperlink"/>
                  <w:rFonts w:ascii="Helvetica" w:eastAsia="Times New Roman" w:hAnsi="Helvetica" w:cs="Helvetica"/>
                  <w:sz w:val="21"/>
                  <w:szCs w:val="21"/>
                </w:rPr>
                <w:t>Amendment #1</w:t>
              </w:r>
            </w:hyperlink>
            <w:bookmarkStart w:id="0" w:name="_GoBack"/>
            <w:bookmarkEnd w:id="0"/>
          </w:p>
        </w:tc>
        <w:tc>
          <w:tcPr>
            <w:tcW w:w="28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09DB" w:rsidRPr="003B560E" w:rsidRDefault="006209DB" w:rsidP="00A2058A">
            <w:pPr>
              <w:spacing w:after="0" w:line="300" w:lineRule="atLeast"/>
              <w:ind w:left="156"/>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RefundSelect</w:t>
            </w:r>
          </w:p>
        </w:tc>
      </w:tr>
    </w:tbl>
    <w:p w:rsidR="003B560E" w:rsidRPr="003B560E" w:rsidRDefault="003B560E" w:rsidP="003B560E">
      <w:pPr>
        <w:spacing w:after="360" w:line="300" w:lineRule="atLeast"/>
        <w:rPr>
          <w:rFonts w:ascii="Helvetica" w:eastAsia="Times New Roman" w:hAnsi="Helvetica" w:cs="Helvetica"/>
          <w:color w:val="333333"/>
          <w:sz w:val="21"/>
          <w:szCs w:val="21"/>
        </w:rPr>
      </w:pPr>
      <w:r w:rsidRPr="003B560E">
        <w:rPr>
          <w:rFonts w:ascii="Helvetica" w:eastAsia="Times New Roman" w:hAnsi="Helvetica" w:cs="Helvetica"/>
          <w:color w:val="333333"/>
          <w:sz w:val="21"/>
          <w:szCs w:val="21"/>
        </w:rPr>
        <w:br/>
        <w:t>On October 30, 2015, the U.S. Department of Education (Department) published Final Regulations in the Federal Register amending the Cash Management regulations at 34 CFR 668.161 – 668.167. Under §668.164(e)(2)(vii) and §668.164(f)(4)(iv), by September 1, 2017, any institution with a Tier One (T1) arrangement, and/or a Tier Two (T2) arrangement that meets or exceeds the credit balance thresholds under §668.164(f)(2)(ii) must post on its website T1 and/or T2 contract data pertaining to the total consideration paid or received by the contracting parties under the arrangement for the most recently completed award year. No later than September 1, 2017, each such institution must also post the mean and median costs its students incurred, as well as the</w:t>
      </w:r>
      <w:r>
        <w:rPr>
          <w:rFonts w:ascii="Helvetica" w:eastAsia="Times New Roman" w:hAnsi="Helvetica" w:cs="Helvetica"/>
          <w:color w:val="333333"/>
          <w:sz w:val="21"/>
          <w:szCs w:val="21"/>
        </w:rPr>
        <w:t xml:space="preserve"> </w:t>
      </w:r>
      <w:r w:rsidRPr="003B560E">
        <w:rPr>
          <w:rFonts w:ascii="Helvetica" w:eastAsia="Times New Roman" w:hAnsi="Helvetica" w:cs="Helvetica"/>
          <w:color w:val="333333"/>
          <w:sz w:val="21"/>
          <w:szCs w:val="21"/>
        </w:rPr>
        <w:t>number of students who had financial accounts under the contract at any time during the most recently completed award year, unless the institution had fewer than 30 enrolled students with accounts opened under the T1 or T2 arrangement. The regulations require that thereafter, these postings must be updated within 60 days after the end of each award year.</w:t>
      </w:r>
      <w:r w:rsidRPr="003B560E">
        <w:rPr>
          <w:rFonts w:ascii="Helvetica" w:eastAsia="Times New Roman" w:hAnsi="Helvetica" w:cs="Helvetica"/>
          <w:color w:val="333333"/>
          <w:sz w:val="21"/>
          <w:szCs w:val="21"/>
        </w:rPr>
        <w:br/>
      </w:r>
      <w:r w:rsidRPr="003B560E">
        <w:rPr>
          <w:rFonts w:ascii="Helvetica" w:eastAsia="Times New Roman" w:hAnsi="Helvetica" w:cs="Helvetica"/>
          <w:color w:val="333333"/>
          <w:sz w:val="21"/>
          <w:szCs w:val="21"/>
        </w:rPr>
        <w:br/>
        <w:t>Section 668.164(e</w:t>
      </w:r>
      <w:proofErr w:type="gramStart"/>
      <w:r w:rsidRPr="003B560E">
        <w:rPr>
          <w:rFonts w:ascii="Helvetica" w:eastAsia="Times New Roman" w:hAnsi="Helvetica" w:cs="Helvetica"/>
          <w:color w:val="333333"/>
          <w:sz w:val="21"/>
          <w:szCs w:val="21"/>
        </w:rPr>
        <w:t>)(</w:t>
      </w:r>
      <w:proofErr w:type="gramEnd"/>
      <w:r w:rsidRPr="003B560E">
        <w:rPr>
          <w:rFonts w:ascii="Helvetica" w:eastAsia="Times New Roman" w:hAnsi="Helvetica" w:cs="Helvetica"/>
          <w:color w:val="333333"/>
          <w:sz w:val="21"/>
          <w:szCs w:val="21"/>
        </w:rPr>
        <w:t>2)(vii) and (f)(4)(iv) also states that the institution must post this contract information in “a format established by the Secretary.” To meet this requirement, institutions must do the following:</w:t>
      </w:r>
    </w:p>
    <w:p w:rsidR="003B560E" w:rsidRPr="003B560E" w:rsidRDefault="003B560E" w:rsidP="003B560E">
      <w:pPr>
        <w:numPr>
          <w:ilvl w:val="1"/>
          <w:numId w:val="1"/>
        </w:numPr>
        <w:spacing w:before="100" w:beforeAutospacing="1" w:after="100" w:afterAutospacing="1" w:line="300" w:lineRule="atLeast"/>
        <w:ind w:left="525"/>
        <w:rPr>
          <w:rFonts w:ascii="Helvetica" w:eastAsia="Times New Roman" w:hAnsi="Helvetica" w:cs="Helvetica"/>
          <w:color w:val="333333"/>
          <w:sz w:val="21"/>
          <w:szCs w:val="21"/>
        </w:rPr>
      </w:pPr>
      <w:r w:rsidRPr="003B560E">
        <w:rPr>
          <w:rFonts w:ascii="Helvetica" w:eastAsia="Times New Roman" w:hAnsi="Helvetica" w:cs="Helvetica"/>
          <w:color w:val="333333"/>
          <w:sz w:val="21"/>
          <w:szCs w:val="21"/>
        </w:rPr>
        <w:t>Post information regarding the mean and median costs students incurred and the number of student accountholders prominently, and as the first piece of information at the URL pr</w:t>
      </w:r>
      <w:r>
        <w:rPr>
          <w:rFonts w:ascii="Helvetica" w:eastAsia="Times New Roman" w:hAnsi="Helvetica" w:cs="Helvetica"/>
          <w:color w:val="333333"/>
          <w:sz w:val="21"/>
          <w:szCs w:val="21"/>
        </w:rPr>
        <w:t xml:space="preserve">ovided to the Department under </w:t>
      </w:r>
      <w:r w:rsidRPr="003B560E">
        <w:rPr>
          <w:rFonts w:ascii="Helvetica" w:eastAsia="Times New Roman" w:hAnsi="Helvetica" w:cs="Helvetica"/>
          <w:color w:val="333333"/>
          <w:sz w:val="21"/>
          <w:szCs w:val="21"/>
        </w:rPr>
        <w:t>§668.164(e</w:t>
      </w:r>
      <w:proofErr w:type="gramStart"/>
      <w:r w:rsidRPr="003B560E">
        <w:rPr>
          <w:rFonts w:ascii="Helvetica" w:eastAsia="Times New Roman" w:hAnsi="Helvetica" w:cs="Helvetica"/>
          <w:color w:val="333333"/>
          <w:sz w:val="21"/>
          <w:szCs w:val="21"/>
        </w:rPr>
        <w:t>)(</w:t>
      </w:r>
      <w:proofErr w:type="gramEnd"/>
      <w:r w:rsidRPr="003B560E">
        <w:rPr>
          <w:rFonts w:ascii="Helvetica" w:eastAsia="Times New Roman" w:hAnsi="Helvetica" w:cs="Helvetica"/>
          <w:color w:val="333333"/>
          <w:sz w:val="21"/>
          <w:szCs w:val="21"/>
        </w:rPr>
        <w:t>2)(viii) and (f)(4)(v).</w:t>
      </w:r>
    </w:p>
    <w:tbl>
      <w:tblPr>
        <w:tblStyle w:val="TableGrid"/>
        <w:tblW w:w="0" w:type="auto"/>
        <w:tblInd w:w="1050" w:type="dxa"/>
        <w:tblLook w:val="04A0" w:firstRow="1" w:lastRow="0" w:firstColumn="1" w:lastColumn="0" w:noHBand="0" w:noVBand="1"/>
      </w:tblPr>
      <w:tblGrid>
        <w:gridCol w:w="2298"/>
        <w:gridCol w:w="2700"/>
      </w:tblGrid>
      <w:tr w:rsidR="003B560E" w:rsidRPr="003B560E" w:rsidTr="003B560E">
        <w:tc>
          <w:tcPr>
            <w:tcW w:w="2298" w:type="dxa"/>
          </w:tcPr>
          <w:p w:rsidR="003B560E" w:rsidRPr="003B560E" w:rsidRDefault="003B560E" w:rsidP="003B560E">
            <w:pPr>
              <w:spacing w:before="100" w:beforeAutospacing="1" w:after="100" w:afterAutospacing="1" w:line="300" w:lineRule="atLeast"/>
              <w:ind w:left="210" w:hanging="180"/>
              <w:jc w:val="right"/>
              <w:rPr>
                <w:rFonts w:ascii="Helvetica" w:eastAsia="Times New Roman" w:hAnsi="Helvetica" w:cs="Helvetica"/>
                <w:color w:val="333333"/>
                <w:sz w:val="21"/>
                <w:szCs w:val="21"/>
              </w:rPr>
            </w:pPr>
            <w:r w:rsidRPr="003B560E">
              <w:rPr>
                <w:rFonts w:ascii="Helvetica" w:eastAsia="Times New Roman" w:hAnsi="Helvetica" w:cs="Helvetica"/>
                <w:color w:val="333333"/>
                <w:sz w:val="21"/>
                <w:szCs w:val="21"/>
              </w:rPr>
              <w:lastRenderedPageBreak/>
              <w:t>Total Accounts:</w:t>
            </w:r>
          </w:p>
        </w:tc>
        <w:tc>
          <w:tcPr>
            <w:tcW w:w="2700" w:type="dxa"/>
          </w:tcPr>
          <w:p w:rsidR="003B560E" w:rsidRPr="003B560E" w:rsidRDefault="0062078D" w:rsidP="0002247D">
            <w:pPr>
              <w:spacing w:before="100" w:beforeAutospacing="1" w:after="100" w:afterAutospacing="1" w:line="300" w:lineRule="atLeast"/>
              <w:ind w:left="162"/>
              <w:rPr>
                <w:rFonts w:ascii="Helvetica" w:eastAsia="Times New Roman" w:hAnsi="Helvetica" w:cs="Helvetica"/>
                <w:color w:val="333333"/>
                <w:sz w:val="21"/>
                <w:szCs w:val="21"/>
              </w:rPr>
            </w:pPr>
            <w:r>
              <w:rPr>
                <w:rFonts w:ascii="Helvetica" w:eastAsia="Times New Roman" w:hAnsi="Helvetica" w:cs="Helvetica"/>
                <w:color w:val="333333"/>
                <w:sz w:val="21"/>
                <w:szCs w:val="21"/>
              </w:rPr>
              <w:t>1,</w:t>
            </w:r>
            <w:r w:rsidR="0002247D">
              <w:rPr>
                <w:rFonts w:ascii="Helvetica" w:eastAsia="Times New Roman" w:hAnsi="Helvetica" w:cs="Helvetica"/>
                <w:color w:val="333333"/>
                <w:sz w:val="21"/>
                <w:szCs w:val="21"/>
              </w:rPr>
              <w:t>252</w:t>
            </w:r>
          </w:p>
        </w:tc>
      </w:tr>
      <w:tr w:rsidR="003B560E" w:rsidRPr="003B560E" w:rsidTr="003B560E">
        <w:tc>
          <w:tcPr>
            <w:tcW w:w="2298" w:type="dxa"/>
          </w:tcPr>
          <w:p w:rsidR="003B560E" w:rsidRPr="003B560E" w:rsidRDefault="003B560E" w:rsidP="003B560E">
            <w:pPr>
              <w:spacing w:before="100" w:beforeAutospacing="1" w:after="100" w:afterAutospacing="1" w:line="300" w:lineRule="atLeast"/>
              <w:ind w:left="210" w:hanging="180"/>
              <w:jc w:val="right"/>
              <w:rPr>
                <w:rFonts w:ascii="Helvetica" w:eastAsia="Times New Roman" w:hAnsi="Helvetica" w:cs="Helvetica"/>
                <w:color w:val="333333"/>
                <w:sz w:val="21"/>
                <w:szCs w:val="21"/>
              </w:rPr>
            </w:pPr>
            <w:r w:rsidRPr="003B560E">
              <w:rPr>
                <w:rFonts w:ascii="Helvetica" w:eastAsia="Times New Roman" w:hAnsi="Helvetica" w:cs="Helvetica"/>
                <w:color w:val="333333"/>
                <w:sz w:val="21"/>
                <w:szCs w:val="21"/>
              </w:rPr>
              <w:t>Avg. Fee Amount:</w:t>
            </w:r>
          </w:p>
        </w:tc>
        <w:tc>
          <w:tcPr>
            <w:tcW w:w="2700" w:type="dxa"/>
          </w:tcPr>
          <w:p w:rsidR="003B560E" w:rsidRPr="003B560E" w:rsidRDefault="0062078D" w:rsidP="0002247D">
            <w:pPr>
              <w:spacing w:before="100" w:beforeAutospacing="1" w:after="100" w:afterAutospacing="1" w:line="300" w:lineRule="atLeast"/>
              <w:ind w:left="162"/>
              <w:rPr>
                <w:rFonts w:ascii="Helvetica" w:eastAsia="Times New Roman" w:hAnsi="Helvetica" w:cs="Helvetica"/>
                <w:color w:val="333333"/>
                <w:sz w:val="21"/>
                <w:szCs w:val="21"/>
              </w:rPr>
            </w:pPr>
            <w:r>
              <w:rPr>
                <w:rFonts w:ascii="Helvetica" w:eastAsia="Times New Roman" w:hAnsi="Helvetica" w:cs="Helvetica"/>
                <w:color w:val="333333"/>
                <w:sz w:val="21"/>
                <w:szCs w:val="21"/>
              </w:rPr>
              <w:t>2</w:t>
            </w:r>
            <w:r w:rsidR="0002247D">
              <w:rPr>
                <w:rFonts w:ascii="Helvetica" w:eastAsia="Times New Roman" w:hAnsi="Helvetica" w:cs="Helvetica"/>
                <w:color w:val="333333"/>
                <w:sz w:val="21"/>
                <w:szCs w:val="21"/>
              </w:rPr>
              <w:t>9</w:t>
            </w:r>
            <w:r>
              <w:rPr>
                <w:rFonts w:ascii="Helvetica" w:eastAsia="Times New Roman" w:hAnsi="Helvetica" w:cs="Helvetica"/>
                <w:color w:val="333333"/>
                <w:sz w:val="21"/>
                <w:szCs w:val="21"/>
              </w:rPr>
              <w:t xml:space="preserve"> cents</w:t>
            </w:r>
          </w:p>
        </w:tc>
      </w:tr>
      <w:tr w:rsidR="003B560E" w:rsidRPr="003B560E" w:rsidTr="003B560E">
        <w:tc>
          <w:tcPr>
            <w:tcW w:w="2298" w:type="dxa"/>
          </w:tcPr>
          <w:p w:rsidR="003B560E" w:rsidRPr="003B560E" w:rsidRDefault="003B560E" w:rsidP="003B560E">
            <w:pPr>
              <w:spacing w:before="100" w:beforeAutospacing="1" w:after="100" w:afterAutospacing="1" w:line="300" w:lineRule="atLeast"/>
              <w:ind w:left="210" w:hanging="180"/>
              <w:jc w:val="right"/>
              <w:rPr>
                <w:rFonts w:ascii="Helvetica" w:eastAsia="Times New Roman" w:hAnsi="Helvetica" w:cs="Helvetica"/>
                <w:color w:val="333333"/>
                <w:sz w:val="21"/>
                <w:szCs w:val="21"/>
              </w:rPr>
            </w:pPr>
            <w:r w:rsidRPr="003B560E">
              <w:rPr>
                <w:rFonts w:ascii="Helvetica" w:eastAsia="Times New Roman" w:hAnsi="Helvetica" w:cs="Helvetica"/>
                <w:color w:val="333333"/>
                <w:sz w:val="21"/>
                <w:szCs w:val="21"/>
              </w:rPr>
              <w:t>Median Fee Amount:</w:t>
            </w:r>
          </w:p>
        </w:tc>
        <w:tc>
          <w:tcPr>
            <w:tcW w:w="2700" w:type="dxa"/>
          </w:tcPr>
          <w:p w:rsidR="003B560E" w:rsidRPr="003B560E" w:rsidRDefault="0062078D" w:rsidP="003B560E">
            <w:pPr>
              <w:spacing w:before="100" w:beforeAutospacing="1" w:after="100" w:afterAutospacing="1" w:line="300" w:lineRule="atLeast"/>
              <w:ind w:left="162"/>
              <w:rPr>
                <w:rFonts w:ascii="Helvetica" w:eastAsia="Times New Roman" w:hAnsi="Helvetica" w:cs="Helvetica"/>
                <w:color w:val="333333"/>
                <w:sz w:val="21"/>
                <w:szCs w:val="21"/>
              </w:rPr>
            </w:pPr>
            <w:r>
              <w:rPr>
                <w:rFonts w:ascii="Helvetica" w:eastAsia="Times New Roman" w:hAnsi="Helvetica" w:cs="Helvetica"/>
                <w:color w:val="333333"/>
                <w:sz w:val="21"/>
                <w:szCs w:val="21"/>
              </w:rPr>
              <w:t>$0</w:t>
            </w:r>
          </w:p>
        </w:tc>
      </w:tr>
    </w:tbl>
    <w:p w:rsidR="003B560E" w:rsidRDefault="003B560E" w:rsidP="003B560E">
      <w:pPr>
        <w:numPr>
          <w:ilvl w:val="1"/>
          <w:numId w:val="1"/>
        </w:numPr>
        <w:spacing w:before="100" w:beforeAutospacing="1" w:after="100" w:afterAutospacing="1" w:line="300" w:lineRule="atLeast"/>
        <w:ind w:left="525"/>
        <w:rPr>
          <w:rFonts w:ascii="Helvetica" w:eastAsia="Times New Roman" w:hAnsi="Helvetica" w:cs="Helvetica"/>
          <w:color w:val="333333"/>
          <w:sz w:val="21"/>
          <w:szCs w:val="21"/>
        </w:rPr>
      </w:pPr>
      <w:r w:rsidRPr="003B560E">
        <w:rPr>
          <w:rFonts w:ascii="Helvetica" w:eastAsia="Times New Roman" w:hAnsi="Helvetica" w:cs="Helvetica"/>
          <w:color w:val="333333"/>
          <w:sz w:val="21"/>
          <w:szCs w:val="21"/>
        </w:rPr>
        <w:t>Place information regarding the total monetary consideration paid or received by the contracting parties directly below the information regarding student accounts.</w:t>
      </w:r>
    </w:p>
    <w:tbl>
      <w:tblPr>
        <w:tblStyle w:val="TableGrid"/>
        <w:tblW w:w="0" w:type="auto"/>
        <w:tblInd w:w="1050" w:type="dxa"/>
        <w:tblLook w:val="04A0" w:firstRow="1" w:lastRow="0" w:firstColumn="1" w:lastColumn="0" w:noHBand="0" w:noVBand="1"/>
      </w:tblPr>
      <w:tblGrid>
        <w:gridCol w:w="2298"/>
        <w:gridCol w:w="2700"/>
      </w:tblGrid>
      <w:tr w:rsidR="003B560E" w:rsidRPr="003B560E" w:rsidTr="00CD516F">
        <w:tc>
          <w:tcPr>
            <w:tcW w:w="2298" w:type="dxa"/>
          </w:tcPr>
          <w:p w:rsidR="003B560E" w:rsidRPr="003B560E" w:rsidRDefault="003B560E" w:rsidP="00CD516F">
            <w:pPr>
              <w:spacing w:before="100" w:beforeAutospacing="1" w:after="100" w:afterAutospacing="1" w:line="300" w:lineRule="atLeast"/>
              <w:ind w:left="210" w:hanging="180"/>
              <w:jc w:val="right"/>
              <w:rPr>
                <w:rFonts w:ascii="Helvetica" w:eastAsia="Times New Roman" w:hAnsi="Helvetica" w:cs="Helvetica"/>
                <w:color w:val="333333"/>
                <w:sz w:val="21"/>
                <w:szCs w:val="21"/>
              </w:rPr>
            </w:pPr>
            <w:r>
              <w:rPr>
                <w:rFonts w:ascii="Helvetica" w:eastAsia="Times New Roman" w:hAnsi="Helvetica" w:cs="Helvetica"/>
                <w:color w:val="333333"/>
                <w:sz w:val="21"/>
                <w:szCs w:val="21"/>
              </w:rPr>
              <w:t>Academic Year</w:t>
            </w:r>
            <w:r w:rsidRPr="003B560E">
              <w:rPr>
                <w:rFonts w:ascii="Helvetica" w:eastAsia="Times New Roman" w:hAnsi="Helvetica" w:cs="Helvetica"/>
                <w:color w:val="333333"/>
                <w:sz w:val="21"/>
                <w:szCs w:val="21"/>
              </w:rPr>
              <w:t>:</w:t>
            </w:r>
          </w:p>
        </w:tc>
        <w:tc>
          <w:tcPr>
            <w:tcW w:w="2700" w:type="dxa"/>
          </w:tcPr>
          <w:p w:rsidR="003B560E" w:rsidRPr="003B560E" w:rsidRDefault="003B560E" w:rsidP="0002247D">
            <w:pPr>
              <w:spacing w:before="100" w:beforeAutospacing="1" w:after="100" w:afterAutospacing="1" w:line="300" w:lineRule="atLeast"/>
              <w:ind w:left="162"/>
              <w:rPr>
                <w:rFonts w:ascii="Helvetica" w:eastAsia="Times New Roman" w:hAnsi="Helvetica" w:cs="Helvetica"/>
                <w:color w:val="333333"/>
                <w:sz w:val="21"/>
                <w:szCs w:val="21"/>
              </w:rPr>
            </w:pPr>
            <w:r>
              <w:rPr>
                <w:rFonts w:ascii="Helvetica" w:eastAsia="Times New Roman" w:hAnsi="Helvetica" w:cs="Helvetica"/>
                <w:color w:val="333333"/>
                <w:sz w:val="21"/>
                <w:szCs w:val="21"/>
              </w:rPr>
              <w:t>201</w:t>
            </w:r>
            <w:r w:rsidR="0002247D">
              <w:rPr>
                <w:rFonts w:ascii="Helvetica" w:eastAsia="Times New Roman" w:hAnsi="Helvetica" w:cs="Helvetica"/>
                <w:color w:val="333333"/>
                <w:sz w:val="21"/>
                <w:szCs w:val="21"/>
              </w:rPr>
              <w:t>7</w:t>
            </w:r>
            <w:r>
              <w:rPr>
                <w:rFonts w:ascii="Helvetica" w:eastAsia="Times New Roman" w:hAnsi="Helvetica" w:cs="Helvetica"/>
                <w:color w:val="333333"/>
                <w:sz w:val="21"/>
                <w:szCs w:val="21"/>
              </w:rPr>
              <w:t>-201</w:t>
            </w:r>
            <w:r w:rsidR="0002247D">
              <w:rPr>
                <w:rFonts w:ascii="Helvetica" w:eastAsia="Times New Roman" w:hAnsi="Helvetica" w:cs="Helvetica"/>
                <w:color w:val="333333"/>
                <w:sz w:val="21"/>
                <w:szCs w:val="21"/>
              </w:rPr>
              <w:t>8</w:t>
            </w:r>
          </w:p>
        </w:tc>
      </w:tr>
      <w:tr w:rsidR="003B560E" w:rsidRPr="003B560E" w:rsidTr="00CD516F">
        <w:tc>
          <w:tcPr>
            <w:tcW w:w="2298" w:type="dxa"/>
          </w:tcPr>
          <w:p w:rsidR="003B560E" w:rsidRPr="003B560E" w:rsidRDefault="003B560E" w:rsidP="00B4062B">
            <w:pPr>
              <w:spacing w:before="100" w:beforeAutospacing="1" w:after="100" w:afterAutospacing="1" w:line="300" w:lineRule="atLeast"/>
              <w:ind w:left="210" w:hanging="180"/>
              <w:jc w:val="right"/>
              <w:rPr>
                <w:rFonts w:ascii="Helvetica" w:eastAsia="Times New Roman" w:hAnsi="Helvetica" w:cs="Helvetica"/>
                <w:color w:val="333333"/>
                <w:sz w:val="21"/>
                <w:szCs w:val="21"/>
              </w:rPr>
            </w:pPr>
            <w:r>
              <w:rPr>
                <w:rFonts w:ascii="Helvetica" w:eastAsia="Times New Roman" w:hAnsi="Helvetica" w:cs="Helvetica"/>
                <w:color w:val="333333"/>
                <w:sz w:val="21"/>
                <w:szCs w:val="21"/>
              </w:rPr>
              <w:t>Total Monetary</w:t>
            </w:r>
            <w:r w:rsidR="00B4062B">
              <w:rPr>
                <w:rFonts w:ascii="Helvetica" w:eastAsia="Times New Roman" w:hAnsi="Helvetica" w:cs="Helvetica"/>
                <w:color w:val="333333"/>
                <w:sz w:val="21"/>
                <w:szCs w:val="21"/>
              </w:rPr>
              <w:t xml:space="preserve"> Paid</w:t>
            </w:r>
            <w:r w:rsidRPr="003B560E">
              <w:rPr>
                <w:rFonts w:ascii="Helvetica" w:eastAsia="Times New Roman" w:hAnsi="Helvetica" w:cs="Helvetica"/>
                <w:color w:val="333333"/>
                <w:sz w:val="21"/>
                <w:szCs w:val="21"/>
              </w:rPr>
              <w:t>:</w:t>
            </w:r>
          </w:p>
        </w:tc>
        <w:tc>
          <w:tcPr>
            <w:tcW w:w="2700" w:type="dxa"/>
          </w:tcPr>
          <w:p w:rsidR="003B560E" w:rsidRPr="003B560E" w:rsidRDefault="003B560E" w:rsidP="00CD516F">
            <w:pPr>
              <w:spacing w:before="100" w:beforeAutospacing="1" w:after="100" w:afterAutospacing="1" w:line="300" w:lineRule="atLeast"/>
              <w:ind w:left="162"/>
              <w:rPr>
                <w:rFonts w:ascii="Helvetica" w:eastAsia="Times New Roman" w:hAnsi="Helvetica" w:cs="Helvetica"/>
                <w:color w:val="333333"/>
                <w:sz w:val="21"/>
                <w:szCs w:val="21"/>
              </w:rPr>
            </w:pPr>
            <w:r>
              <w:rPr>
                <w:rFonts w:ascii="Helvetica" w:eastAsia="Times New Roman" w:hAnsi="Helvetica" w:cs="Helvetica"/>
                <w:color w:val="333333"/>
                <w:sz w:val="21"/>
                <w:szCs w:val="21"/>
              </w:rPr>
              <w:t>$</w:t>
            </w:r>
            <w:r w:rsidR="00774CCE">
              <w:rPr>
                <w:rFonts w:ascii="Helvetica" w:eastAsia="Times New Roman" w:hAnsi="Helvetica" w:cs="Helvetica"/>
                <w:color w:val="333333"/>
                <w:sz w:val="21"/>
                <w:szCs w:val="21"/>
              </w:rPr>
              <w:t xml:space="preserve"> </w:t>
            </w:r>
            <w:r w:rsidR="0002247D">
              <w:rPr>
                <w:rFonts w:ascii="Helvetica" w:eastAsia="Times New Roman" w:hAnsi="Helvetica" w:cs="Helvetica"/>
                <w:color w:val="333333"/>
                <w:sz w:val="21"/>
                <w:szCs w:val="21"/>
              </w:rPr>
              <w:t>97,381</w:t>
            </w:r>
          </w:p>
        </w:tc>
      </w:tr>
    </w:tbl>
    <w:p w:rsidR="003B560E" w:rsidRPr="003B560E" w:rsidRDefault="003B560E" w:rsidP="003B560E">
      <w:pPr>
        <w:numPr>
          <w:ilvl w:val="1"/>
          <w:numId w:val="1"/>
        </w:numPr>
        <w:spacing w:before="100" w:beforeAutospacing="1" w:after="100" w:afterAutospacing="1" w:line="300" w:lineRule="atLeast"/>
        <w:ind w:left="525"/>
        <w:rPr>
          <w:rFonts w:ascii="Helvetica" w:eastAsia="Times New Roman" w:hAnsi="Helvetica" w:cs="Helvetica"/>
          <w:color w:val="333333"/>
          <w:sz w:val="21"/>
          <w:szCs w:val="21"/>
        </w:rPr>
      </w:pPr>
      <w:r w:rsidRPr="003B560E">
        <w:rPr>
          <w:rFonts w:ascii="Helvetica" w:eastAsia="Times New Roman" w:hAnsi="Helvetica" w:cs="Helvetica"/>
          <w:color w:val="333333"/>
          <w:sz w:val="21"/>
          <w:szCs w:val="21"/>
        </w:rPr>
        <w:t>Place any non-monetary consideration between the contracting parties directly below information pertaining to the monetary consideration.</w:t>
      </w:r>
    </w:p>
    <w:tbl>
      <w:tblPr>
        <w:tblStyle w:val="TableGrid"/>
        <w:tblW w:w="0" w:type="auto"/>
        <w:tblInd w:w="1050" w:type="dxa"/>
        <w:tblLook w:val="04A0" w:firstRow="1" w:lastRow="0" w:firstColumn="1" w:lastColumn="0" w:noHBand="0" w:noVBand="1"/>
      </w:tblPr>
      <w:tblGrid>
        <w:gridCol w:w="2298"/>
        <w:gridCol w:w="2700"/>
      </w:tblGrid>
      <w:tr w:rsidR="003B560E" w:rsidRPr="003B560E" w:rsidTr="00CD516F">
        <w:tc>
          <w:tcPr>
            <w:tcW w:w="2298" w:type="dxa"/>
          </w:tcPr>
          <w:p w:rsidR="003B560E" w:rsidRPr="003B560E" w:rsidRDefault="003B560E" w:rsidP="00CD516F">
            <w:pPr>
              <w:spacing w:before="100" w:beforeAutospacing="1" w:after="100" w:afterAutospacing="1" w:line="300" w:lineRule="atLeast"/>
              <w:ind w:left="210" w:hanging="180"/>
              <w:jc w:val="right"/>
              <w:rPr>
                <w:rFonts w:ascii="Helvetica" w:eastAsia="Times New Roman" w:hAnsi="Helvetica" w:cs="Helvetica"/>
                <w:color w:val="333333"/>
                <w:sz w:val="21"/>
                <w:szCs w:val="21"/>
              </w:rPr>
            </w:pPr>
            <w:r>
              <w:rPr>
                <w:rFonts w:ascii="Helvetica" w:eastAsia="Times New Roman" w:hAnsi="Helvetica" w:cs="Helvetica"/>
                <w:color w:val="333333"/>
                <w:sz w:val="21"/>
                <w:szCs w:val="21"/>
              </w:rPr>
              <w:t>Academic Year</w:t>
            </w:r>
            <w:r w:rsidRPr="003B560E">
              <w:rPr>
                <w:rFonts w:ascii="Helvetica" w:eastAsia="Times New Roman" w:hAnsi="Helvetica" w:cs="Helvetica"/>
                <w:color w:val="333333"/>
                <w:sz w:val="21"/>
                <w:szCs w:val="21"/>
              </w:rPr>
              <w:t>:</w:t>
            </w:r>
          </w:p>
        </w:tc>
        <w:tc>
          <w:tcPr>
            <w:tcW w:w="2700" w:type="dxa"/>
          </w:tcPr>
          <w:p w:rsidR="003B560E" w:rsidRPr="003B560E" w:rsidRDefault="003B560E" w:rsidP="00073C51">
            <w:pPr>
              <w:spacing w:before="100" w:beforeAutospacing="1" w:after="100" w:afterAutospacing="1" w:line="300" w:lineRule="atLeast"/>
              <w:ind w:left="162"/>
              <w:rPr>
                <w:rFonts w:ascii="Helvetica" w:eastAsia="Times New Roman" w:hAnsi="Helvetica" w:cs="Helvetica"/>
                <w:color w:val="333333"/>
                <w:sz w:val="21"/>
                <w:szCs w:val="21"/>
              </w:rPr>
            </w:pPr>
            <w:r>
              <w:rPr>
                <w:rFonts w:ascii="Helvetica" w:eastAsia="Times New Roman" w:hAnsi="Helvetica" w:cs="Helvetica"/>
                <w:color w:val="333333"/>
                <w:sz w:val="21"/>
                <w:szCs w:val="21"/>
              </w:rPr>
              <w:t>201</w:t>
            </w:r>
            <w:r w:rsidR="00073C51">
              <w:rPr>
                <w:rFonts w:ascii="Helvetica" w:eastAsia="Times New Roman" w:hAnsi="Helvetica" w:cs="Helvetica"/>
                <w:color w:val="333333"/>
                <w:sz w:val="21"/>
                <w:szCs w:val="21"/>
              </w:rPr>
              <w:t>7-2018</w:t>
            </w:r>
          </w:p>
        </w:tc>
      </w:tr>
      <w:tr w:rsidR="003B560E" w:rsidRPr="003B560E" w:rsidTr="00CD516F">
        <w:tc>
          <w:tcPr>
            <w:tcW w:w="2298" w:type="dxa"/>
          </w:tcPr>
          <w:p w:rsidR="003B560E" w:rsidRPr="003B560E" w:rsidRDefault="003B560E" w:rsidP="003B560E">
            <w:pPr>
              <w:spacing w:before="100" w:beforeAutospacing="1" w:after="100" w:afterAutospacing="1" w:line="300" w:lineRule="atLeast"/>
              <w:ind w:left="210" w:hanging="180"/>
              <w:jc w:val="right"/>
              <w:rPr>
                <w:rFonts w:ascii="Helvetica" w:eastAsia="Times New Roman" w:hAnsi="Helvetica" w:cs="Helvetica"/>
                <w:color w:val="333333"/>
                <w:sz w:val="21"/>
                <w:szCs w:val="21"/>
              </w:rPr>
            </w:pPr>
            <w:r>
              <w:rPr>
                <w:rFonts w:ascii="Helvetica" w:eastAsia="Times New Roman" w:hAnsi="Helvetica" w:cs="Helvetica"/>
                <w:color w:val="333333"/>
                <w:sz w:val="21"/>
                <w:szCs w:val="21"/>
              </w:rPr>
              <w:t>Total Non-monetary</w:t>
            </w:r>
            <w:r w:rsidRPr="003B560E">
              <w:rPr>
                <w:rFonts w:ascii="Helvetica" w:eastAsia="Times New Roman" w:hAnsi="Helvetica" w:cs="Helvetica"/>
                <w:color w:val="333333"/>
                <w:sz w:val="21"/>
                <w:szCs w:val="21"/>
              </w:rPr>
              <w:t>:</w:t>
            </w:r>
          </w:p>
        </w:tc>
        <w:tc>
          <w:tcPr>
            <w:tcW w:w="2700" w:type="dxa"/>
          </w:tcPr>
          <w:p w:rsidR="003B560E" w:rsidRPr="003B560E" w:rsidRDefault="006209DB" w:rsidP="00CD516F">
            <w:pPr>
              <w:spacing w:before="100" w:beforeAutospacing="1" w:after="100" w:afterAutospacing="1" w:line="300" w:lineRule="atLeast"/>
              <w:ind w:left="162"/>
              <w:rPr>
                <w:rFonts w:ascii="Helvetica" w:eastAsia="Times New Roman" w:hAnsi="Helvetica" w:cs="Helvetica"/>
                <w:color w:val="333333"/>
                <w:sz w:val="21"/>
                <w:szCs w:val="21"/>
              </w:rPr>
            </w:pPr>
            <w:r>
              <w:rPr>
                <w:rFonts w:ascii="Helvetica" w:eastAsia="Times New Roman" w:hAnsi="Helvetica" w:cs="Helvetica"/>
                <w:color w:val="333333"/>
                <w:sz w:val="21"/>
                <w:szCs w:val="21"/>
              </w:rPr>
              <w:t>None</w:t>
            </w:r>
          </w:p>
        </w:tc>
      </w:tr>
    </w:tbl>
    <w:p w:rsidR="003B560E" w:rsidRPr="003B560E" w:rsidRDefault="003B560E" w:rsidP="003B560E">
      <w:pPr>
        <w:spacing w:after="360" w:line="300" w:lineRule="atLeast"/>
        <w:rPr>
          <w:rFonts w:ascii="Helvetica" w:eastAsia="Times New Roman" w:hAnsi="Helvetica" w:cs="Helvetica"/>
          <w:color w:val="333333"/>
          <w:sz w:val="21"/>
          <w:szCs w:val="21"/>
        </w:rPr>
      </w:pPr>
    </w:p>
    <w:p w:rsidR="003B560E" w:rsidRPr="003B560E" w:rsidRDefault="003B560E" w:rsidP="003B560E">
      <w:pPr>
        <w:spacing w:after="360" w:line="300" w:lineRule="atLeast"/>
        <w:rPr>
          <w:rFonts w:ascii="Helvetica" w:eastAsia="Times New Roman" w:hAnsi="Helvetica" w:cs="Helvetica"/>
          <w:color w:val="333333"/>
          <w:sz w:val="21"/>
          <w:szCs w:val="21"/>
        </w:rPr>
      </w:pPr>
      <w:r w:rsidRPr="003B560E">
        <w:rPr>
          <w:rFonts w:ascii="Helvetica" w:eastAsia="Times New Roman" w:hAnsi="Helvetica" w:cs="Helvetica"/>
          <w:color w:val="333333"/>
          <w:sz w:val="21"/>
          <w:szCs w:val="21"/>
        </w:rPr>
        <w:t xml:space="preserve">The </w:t>
      </w:r>
      <w:hyperlink r:id="rId7" w:tooltip="Cash Management Information Page" w:history="1">
        <w:r w:rsidRPr="003B560E">
          <w:rPr>
            <w:rFonts w:ascii="Helvetica" w:eastAsia="Times New Roman" w:hAnsi="Helvetica" w:cs="Helvetica"/>
            <w:color w:val="C41230"/>
            <w:sz w:val="21"/>
            <w:szCs w:val="21"/>
          </w:rPr>
          <w:t>Cash Management Information Page</w:t>
        </w:r>
      </w:hyperlink>
      <w:r w:rsidRPr="003B560E">
        <w:rPr>
          <w:rFonts w:ascii="Helvetica" w:eastAsia="Times New Roman" w:hAnsi="Helvetica" w:cs="Helvetica"/>
          <w:color w:val="333333"/>
          <w:sz w:val="21"/>
          <w:szCs w:val="21"/>
        </w:rPr>
        <w:t xml:space="preserve"> on the IFAP website contains information on the Cash Management regulations, including Frequently Asked Questions (FAQs).</w:t>
      </w:r>
    </w:p>
    <w:p w:rsidR="001A6AAB" w:rsidRDefault="001A6AAB"/>
    <w:sectPr w:rsidR="001A6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A7F4B"/>
    <w:multiLevelType w:val="multilevel"/>
    <w:tmpl w:val="65586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0E"/>
    <w:rsid w:val="0002247D"/>
    <w:rsid w:val="00073C51"/>
    <w:rsid w:val="001A6AAB"/>
    <w:rsid w:val="003B560E"/>
    <w:rsid w:val="004B2639"/>
    <w:rsid w:val="005442BF"/>
    <w:rsid w:val="0062078D"/>
    <w:rsid w:val="006209DB"/>
    <w:rsid w:val="006421FD"/>
    <w:rsid w:val="00774CCE"/>
    <w:rsid w:val="00A87213"/>
    <w:rsid w:val="00B4062B"/>
    <w:rsid w:val="00D1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E8751-7D2A-43DB-82A4-08F681F5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560E"/>
    <w:pPr>
      <w:spacing w:before="150" w:after="150" w:line="600" w:lineRule="atLeast"/>
      <w:outlineLvl w:val="0"/>
    </w:pPr>
    <w:rPr>
      <w:rFonts w:ascii="Garamond" w:eastAsia="Times New Roman" w:hAnsi="Garamond" w:cs="Times New Roman"/>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60E"/>
    <w:rPr>
      <w:rFonts w:ascii="Garamond" w:eastAsia="Times New Roman" w:hAnsi="Garamond" w:cs="Times New Roman"/>
      <w:kern w:val="36"/>
      <w:sz w:val="58"/>
      <w:szCs w:val="58"/>
    </w:rPr>
  </w:style>
  <w:style w:type="character" w:styleId="Hyperlink">
    <w:name w:val="Hyperlink"/>
    <w:basedOn w:val="DefaultParagraphFont"/>
    <w:uiPriority w:val="99"/>
    <w:unhideWhenUsed/>
    <w:rsid w:val="003B560E"/>
    <w:rPr>
      <w:strike w:val="0"/>
      <w:dstrike w:val="0"/>
      <w:color w:val="C41230"/>
      <w:u w:val="none"/>
      <w:effect w:val="none"/>
    </w:rPr>
  </w:style>
  <w:style w:type="character" w:styleId="Strong">
    <w:name w:val="Strong"/>
    <w:basedOn w:val="DefaultParagraphFont"/>
    <w:uiPriority w:val="22"/>
    <w:qFormat/>
    <w:rsid w:val="003B560E"/>
    <w:rPr>
      <w:b/>
      <w:bCs/>
    </w:rPr>
  </w:style>
  <w:style w:type="paragraph" w:styleId="NormalWeb">
    <w:name w:val="Normal (Web)"/>
    <w:basedOn w:val="Normal"/>
    <w:uiPriority w:val="99"/>
    <w:unhideWhenUsed/>
    <w:rsid w:val="003B560E"/>
    <w:pPr>
      <w:spacing w:after="36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B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78D"/>
    <w:rPr>
      <w:rFonts w:ascii="Tahoma" w:hAnsi="Tahoma" w:cs="Tahoma"/>
      <w:sz w:val="16"/>
      <w:szCs w:val="16"/>
    </w:rPr>
  </w:style>
  <w:style w:type="character" w:styleId="FollowedHyperlink">
    <w:name w:val="FollowedHyperlink"/>
    <w:basedOn w:val="DefaultParagraphFont"/>
    <w:uiPriority w:val="99"/>
    <w:semiHidden/>
    <w:unhideWhenUsed/>
    <w:rsid w:val="006421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283311">
      <w:bodyDiv w:val="1"/>
      <w:marLeft w:val="0"/>
      <w:marRight w:val="0"/>
      <w:marTop w:val="0"/>
      <w:marBottom w:val="0"/>
      <w:divBdr>
        <w:top w:val="none" w:sz="0" w:space="0" w:color="auto"/>
        <w:left w:val="none" w:sz="0" w:space="0" w:color="auto"/>
        <w:bottom w:val="none" w:sz="0" w:space="0" w:color="auto"/>
        <w:right w:val="none" w:sz="0" w:space="0" w:color="auto"/>
      </w:divBdr>
      <w:divsChild>
        <w:div w:id="1567454506">
          <w:marLeft w:val="0"/>
          <w:marRight w:val="0"/>
          <w:marTop w:val="0"/>
          <w:marBottom w:val="0"/>
          <w:divBdr>
            <w:top w:val="none" w:sz="0" w:space="0" w:color="auto"/>
            <w:left w:val="none" w:sz="0" w:space="0" w:color="auto"/>
            <w:bottom w:val="none" w:sz="0" w:space="0" w:color="auto"/>
            <w:right w:val="none" w:sz="0" w:space="0" w:color="auto"/>
          </w:divBdr>
          <w:divsChild>
            <w:div w:id="1555001718">
              <w:marLeft w:val="0"/>
              <w:marRight w:val="0"/>
              <w:marTop w:val="0"/>
              <w:marBottom w:val="0"/>
              <w:divBdr>
                <w:top w:val="none" w:sz="0" w:space="0" w:color="auto"/>
                <w:left w:val="none" w:sz="0" w:space="0" w:color="auto"/>
                <w:bottom w:val="none" w:sz="0" w:space="0" w:color="auto"/>
                <w:right w:val="none" w:sz="0" w:space="0" w:color="auto"/>
              </w:divBdr>
              <w:divsChild>
                <w:div w:id="809633188">
                  <w:marLeft w:val="0"/>
                  <w:marRight w:val="0"/>
                  <w:marTop w:val="0"/>
                  <w:marBottom w:val="0"/>
                  <w:divBdr>
                    <w:top w:val="none" w:sz="0" w:space="0" w:color="auto"/>
                    <w:left w:val="none" w:sz="0" w:space="0" w:color="auto"/>
                    <w:bottom w:val="none" w:sz="0" w:space="0" w:color="auto"/>
                    <w:right w:val="none" w:sz="0" w:space="0" w:color="auto"/>
                  </w:divBdr>
                  <w:divsChild>
                    <w:div w:id="2085838889">
                      <w:marLeft w:val="0"/>
                      <w:marRight w:val="0"/>
                      <w:marTop w:val="0"/>
                      <w:marBottom w:val="0"/>
                      <w:divBdr>
                        <w:top w:val="none" w:sz="0" w:space="0" w:color="auto"/>
                        <w:left w:val="none" w:sz="0" w:space="0" w:color="auto"/>
                        <w:bottom w:val="none" w:sz="0" w:space="0" w:color="auto"/>
                        <w:right w:val="none" w:sz="0" w:space="0" w:color="auto"/>
                      </w:divBdr>
                      <w:divsChild>
                        <w:div w:id="2106220574">
                          <w:marLeft w:val="0"/>
                          <w:marRight w:val="0"/>
                          <w:marTop w:val="0"/>
                          <w:marBottom w:val="0"/>
                          <w:divBdr>
                            <w:top w:val="none" w:sz="0" w:space="0" w:color="auto"/>
                            <w:left w:val="none" w:sz="0" w:space="0" w:color="auto"/>
                            <w:bottom w:val="none" w:sz="0" w:space="0" w:color="auto"/>
                            <w:right w:val="none" w:sz="0" w:space="0" w:color="auto"/>
                          </w:divBdr>
                          <w:divsChild>
                            <w:div w:id="1383215437">
                              <w:marLeft w:val="0"/>
                              <w:marRight w:val="0"/>
                              <w:marTop w:val="0"/>
                              <w:marBottom w:val="0"/>
                              <w:divBdr>
                                <w:top w:val="none" w:sz="0" w:space="0" w:color="auto"/>
                                <w:left w:val="none" w:sz="0" w:space="0" w:color="auto"/>
                                <w:bottom w:val="none" w:sz="0" w:space="0" w:color="auto"/>
                                <w:right w:val="none" w:sz="0" w:space="0" w:color="auto"/>
                              </w:divBdr>
                              <w:divsChild>
                                <w:div w:id="1597202975">
                                  <w:marLeft w:val="0"/>
                                  <w:marRight w:val="0"/>
                                  <w:marTop w:val="0"/>
                                  <w:marBottom w:val="0"/>
                                  <w:divBdr>
                                    <w:top w:val="none" w:sz="0" w:space="0" w:color="auto"/>
                                    <w:left w:val="none" w:sz="0" w:space="0" w:color="auto"/>
                                    <w:bottom w:val="none" w:sz="0" w:space="0" w:color="auto"/>
                                    <w:right w:val="none" w:sz="0" w:space="0" w:color="auto"/>
                                  </w:divBdr>
                                  <w:divsChild>
                                    <w:div w:id="1912345247">
                                      <w:marLeft w:val="0"/>
                                      <w:marRight w:val="0"/>
                                      <w:marTop w:val="0"/>
                                      <w:marBottom w:val="0"/>
                                      <w:divBdr>
                                        <w:top w:val="none" w:sz="0" w:space="0" w:color="auto"/>
                                        <w:left w:val="none" w:sz="0" w:space="0" w:color="auto"/>
                                        <w:bottom w:val="none" w:sz="0" w:space="0" w:color="auto"/>
                                        <w:right w:val="none" w:sz="0" w:space="0" w:color="auto"/>
                                      </w:divBdr>
                                      <w:divsChild>
                                        <w:div w:id="163785801">
                                          <w:marLeft w:val="0"/>
                                          <w:marRight w:val="0"/>
                                          <w:marTop w:val="0"/>
                                          <w:marBottom w:val="0"/>
                                          <w:divBdr>
                                            <w:top w:val="none" w:sz="0" w:space="0" w:color="auto"/>
                                            <w:left w:val="none" w:sz="0" w:space="0" w:color="auto"/>
                                            <w:bottom w:val="none" w:sz="0" w:space="0" w:color="auto"/>
                                            <w:right w:val="none" w:sz="0" w:space="0" w:color="auto"/>
                                          </w:divBdr>
                                          <w:divsChild>
                                            <w:div w:id="520239895">
                                              <w:marLeft w:val="0"/>
                                              <w:marRight w:val="0"/>
                                              <w:marTop w:val="0"/>
                                              <w:marBottom w:val="0"/>
                                              <w:divBdr>
                                                <w:top w:val="none" w:sz="0" w:space="0" w:color="auto"/>
                                                <w:left w:val="none" w:sz="0" w:space="0" w:color="auto"/>
                                                <w:bottom w:val="none" w:sz="0" w:space="0" w:color="auto"/>
                                                <w:right w:val="none" w:sz="0" w:space="0" w:color="auto"/>
                                              </w:divBdr>
                                              <w:divsChild>
                                                <w:div w:id="1666780632">
                                                  <w:marLeft w:val="0"/>
                                                  <w:marRight w:val="0"/>
                                                  <w:marTop w:val="0"/>
                                                  <w:marBottom w:val="0"/>
                                                  <w:divBdr>
                                                    <w:top w:val="none" w:sz="0" w:space="0" w:color="auto"/>
                                                    <w:left w:val="none" w:sz="0" w:space="0" w:color="auto"/>
                                                    <w:bottom w:val="none" w:sz="0" w:space="0" w:color="auto"/>
                                                    <w:right w:val="none" w:sz="0" w:space="0" w:color="auto"/>
                                                  </w:divBdr>
                                                </w:div>
                                                <w:div w:id="5410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fap.ed.gov/CashManagementInf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mo.edu/siteassets/district/departments/finance/business-office/heartland-renewal.pdf" TargetMode="External"/><Relationship Id="rId5" Type="http://schemas.openxmlformats.org/officeDocument/2006/relationships/hyperlink" Target="https://www.alamo.edu/siteassets/district/departments/finance/business-office/heartland2ndamendment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Allen</dc:creator>
  <cp:lastModifiedBy>Muniz, Mario</cp:lastModifiedBy>
  <cp:revision>3</cp:revision>
  <cp:lastPrinted>2017-11-09T16:48:00Z</cp:lastPrinted>
  <dcterms:created xsi:type="dcterms:W3CDTF">2018-09-18T22:45:00Z</dcterms:created>
  <dcterms:modified xsi:type="dcterms:W3CDTF">2018-09-18T22:59:00Z</dcterms:modified>
</cp:coreProperties>
</file>